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CA" w:rsidRDefault="00D47FCA" w:rsidP="00D47FCA">
      <w:pPr>
        <w:rPr>
          <w:rFonts w:ascii="Times New Roman" w:hAnsi="Times New Roman" w:cs="Times New Roman"/>
          <w:b/>
          <w:sz w:val="28"/>
          <w:szCs w:val="28"/>
        </w:rPr>
      </w:pPr>
      <w:r w:rsidRPr="000A69A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47FCA" w:rsidRDefault="00D47FCA" w:rsidP="00D47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Актуальные  вопросы  и  ответы  на  тему:  «Кадастровый  учет объектов   недвижимости».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5439E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         Вопрос</w:t>
      </w:r>
      <w:r w:rsidRPr="00D5439E">
        <w:rPr>
          <w:rStyle w:val="a4"/>
          <w:rFonts w:ascii="Times New Roman" w:eastAsia="Segoe UI" w:hAnsi="Times New Roman" w:cs="Times New Roman"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: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На основании чего объект недвижимости может быть поставлен на государственный кадастровый учет?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Ответ: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Государственный кадастровый учет осуществляется на основании заявления и документов, поступивших в орган регистрации прав. Согласно ст.14 Федерального закона №218 — ФЗ (закон о регистрации) необходимым документом для постановки на кадастровый учёт являются межевой план, для постановки дома - технический план, подготовленные кадастровым инженером в результате проведения кадастровых работ в установленном федеральным законом порядке, или карта-план территории, подготовленная в результате выполнения комплексных кадастровых работ. 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  <w:t xml:space="preserve">Информацию о действующих кадастровых инженерах можно найти на официальном сайте 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Росреестра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(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rosreestr.ru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/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site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/) в разделе «Электронные услуги и сервисы» - «Реестр кадастровых инженеров». 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Вопрос: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На основании</w:t>
      </w:r>
      <w:r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,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каких документов производится изменение характеристик объекта недвижимости?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Ответ: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В случае</w:t>
      </w:r>
      <w:proofErr w:type="gram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,</w:t>
      </w:r>
      <w:proofErr w:type="gram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если объект недвижимости претерпел какие либо изменения, это может быть, например, перепланировка или разделение земельного участка, необходимо обратиться к кадастровому инженеру (не является сотрудником Кадастровой палаты) для внесения новых характеристик объекта недвижимости в технических или межевой план. Далее необходимо написать заявление в орган регистрации прав для внесения изменений в Единый государственный реестр недвижимости (ЕГРН). 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Вопрос: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Что делать, если при проведении межевания выявлено пересечение границ смежных земельных участков?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Ответ: 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В процессе межевания кадастровым инженером может быть выявлено пересечение границ земельного участка с границами смежных участков, сведения о которых уже содержатся в ЕГРН, что может привести к разногласиям между собственниками (владельцами) смежных участков. 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  <w:t xml:space="preserve">Если в результате кадастровых работ уточняется местоположение границ вашего земельного участка или границ смежных с ним земельных участков, сведения о которых внесены в ЕГРН, местоположение границ земельных участков подлежит обязательному согласованию между собственниками, обладающими смежными участками на праве 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lastRenderedPageBreak/>
        <w:t>собственности. Предметом согласования является определение местоположения границы земельного участка, являющейся и границей другого земельного участка (ст. 43 Закона N 218-ФЗ). В случае если причиной пересечения границ земельных участков является ошибка в сведениях ЕГРН о земельном участке, кадастровый учет которого был осуществлен ранее, то она может быть исправлена в порядке ст. 61 Закона N 218-ФЗ.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Вопрос: 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Как узнать установлены ли границы земельного участка?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Ответ: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Зная кадастровый номер земельного участка, можно без труда узнать</w:t>
      </w:r>
      <w:r w:rsidR="0032497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,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установлены ли границы участка. Для этого необходимо зайти на официальный сайт 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Росреестра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(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rosreestr.ru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/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site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/) в раздел «Электронные услуги и сервисы». В данном разделе есть общедоступный сервис «Публичная кадастровая карта». С помощью данного сервиса без труда можно узнать, установлены ли границы и имеются ли координаты земельного участка. Также можно заказать выписку из ЕГРН «об объекте недвижимости», либо выписку из ЕГРН «об основных характеристиках и зарегистрированных правах». Если граница земельного участка не установлена в соответствии с требованиями законодательства, то в особых отметках в выписках будет указано, что граница земельного участка не установлена в соответствии с требованиями земельного законодательства.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Вопрос: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Сроки предоставления сведений из ЕГРН?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Ответ: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Выписка из ЕГРН предоставляется органом регистрации прав по запросам любых лиц, в том числе через сеть «Интернет»,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иные технические средства связи, а также путем доступа к федеральной государственной информационной системе ведения ЕГРН или иным способом (п. 1 ст. 62 Федерального закона от 13.07.2015 № 218-ФЗ).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  <w:t xml:space="preserve">Выписки из ЕГРН предоставляются в формах электронного документа или документа на бумажном носителе. Сведения ЕГРН предоставляются в срок не более 3 рабочих дней со дня получения </w:t>
      </w:r>
      <w:proofErr w:type="spellStart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Росреестром</w:t>
      </w:r>
      <w:proofErr w:type="spellEnd"/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запроса о предоставлении сведений.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Вопрос: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Как узнать кадастровую стоимость объекта недвижимости?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Ответ: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 Сведения о кадастровой стоимости, содержащиеся в ЕГРН, можно узнать, получив выписку из ЕГРН о кадастровой стоимости объекта недвижимости (форма выписки утверждена приказом Минэкономразвития России от 25.12.2015 № 975). Выписка 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lastRenderedPageBreak/>
        <w:t>предоставляется бесплатно для всех категорий заявителей.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Вопрос: </w:t>
      </w:r>
      <w:r w:rsidRPr="00D47FCA">
        <w:rPr>
          <w:rStyle w:val="a4"/>
          <w:rFonts w:ascii="Times New Roman" w:eastAsia="Segoe UI" w:hAnsi="Times New Roman" w:cs="Times New Roman"/>
          <w:b/>
          <w:i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Как получить полные сведения на объект недвижимости? 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  <w:r w:rsidRPr="00D47FCA">
        <w:rPr>
          <w:rStyle w:val="a4"/>
          <w:rFonts w:ascii="Times New Roman" w:eastAsia="Segoe UI" w:hAnsi="Times New Roman" w:cs="Times New Roman"/>
          <w:b/>
          <w:bCs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 xml:space="preserve">Ответ: </w:t>
      </w: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Полные сведения об объекте недвижимости можно узнать, заказав выписку из ЕГРН «Об объекте недвижимости». Выписка об объекте недвижимости содержит описание объекта недвижимости, сведения о зарегистрированных правах на него, их ограничениях и обременениях. Кроме того, в документе указываются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D47FCA" w:rsidRPr="00D47FCA" w:rsidRDefault="00D47FCA" w:rsidP="00D47FCA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  <w:t xml:space="preserve">Заказать выписку можно непосредственно в офисах приема и выдачи документов </w:t>
      </w:r>
      <w:r w:rsidR="00D5439E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>Кадастровой палаты или в МФЦ.</w:t>
      </w:r>
    </w:p>
    <w:p w:rsidR="00D47FCA" w:rsidRDefault="00D47FCA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  <w:r w:rsidRPr="00D47FCA"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  <w:tab/>
      </w: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pStyle w:val="Default"/>
        <w:spacing w:line="276" w:lineRule="auto"/>
        <w:jc w:val="both"/>
        <w:rPr>
          <w:rStyle w:val="a4"/>
          <w:rFonts w:ascii="Times New Roman" w:eastAsia="Segoe UI" w:hAnsi="Times New Roman" w:cs="Times New Roman"/>
          <w:color w:val="auto"/>
          <w:w w:val="104"/>
          <w:kern w:val="1"/>
          <w:sz w:val="28"/>
          <w:szCs w:val="28"/>
          <w:u w:val="none"/>
          <w:shd w:val="clear" w:color="auto" w:fill="FFFFFF"/>
          <w:lang w:eastAsia="ru-RU" w:bidi="ar-SA"/>
        </w:rPr>
      </w:pPr>
    </w:p>
    <w:p w:rsidR="00D5439E" w:rsidRDefault="00D5439E" w:rsidP="00D54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439E" w:rsidRDefault="00D5439E" w:rsidP="00D54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439E" w:rsidRDefault="00D5439E" w:rsidP="00D54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D5439E" w:rsidSect="00FF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FCA"/>
    <w:rsid w:val="0032497A"/>
    <w:rsid w:val="00382017"/>
    <w:rsid w:val="00D47FCA"/>
    <w:rsid w:val="00D5439E"/>
    <w:rsid w:val="00F77FBB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47FCA"/>
    <w:rPr>
      <w:color w:val="0000FF"/>
      <w:u w:val="single"/>
    </w:rPr>
  </w:style>
  <w:style w:type="paragraph" w:customStyle="1" w:styleId="Default">
    <w:name w:val="Default"/>
    <w:rsid w:val="00D47FCA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dc:description/>
  <cp:lastModifiedBy>mishinatg</cp:lastModifiedBy>
  <cp:revision>4</cp:revision>
  <dcterms:created xsi:type="dcterms:W3CDTF">2017-06-21T14:08:00Z</dcterms:created>
  <dcterms:modified xsi:type="dcterms:W3CDTF">2017-07-11T09:30:00Z</dcterms:modified>
</cp:coreProperties>
</file>